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545" w:rsidRDefault="00D27545" w:rsidP="00CD2C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B1A21"/>
          <w:sz w:val="24"/>
          <w:szCs w:val="24"/>
        </w:rPr>
      </w:pPr>
    </w:p>
    <w:p w:rsidR="00FC49C7" w:rsidRPr="00CD2C6C" w:rsidRDefault="00CD2C6C" w:rsidP="00CD2C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B1A21"/>
          <w:sz w:val="24"/>
          <w:szCs w:val="24"/>
        </w:rPr>
      </w:pPr>
      <w:bookmarkStart w:id="0" w:name="_GoBack"/>
      <w:bookmarkEnd w:id="0"/>
      <w:r w:rsidRPr="00CD2C6C">
        <w:rPr>
          <w:rFonts w:ascii="Arial" w:hAnsi="Arial" w:cs="Arial"/>
          <w:b/>
          <w:color w:val="1B1A21"/>
          <w:sz w:val="24"/>
          <w:szCs w:val="24"/>
        </w:rPr>
        <w:t>PIANO DI SICUREZZA</w:t>
      </w:r>
    </w:p>
    <w:p w:rsidR="00CD2C6C" w:rsidRDefault="00CD2C6C" w:rsidP="00FC4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B1A21"/>
          <w:sz w:val="20"/>
          <w:szCs w:val="20"/>
        </w:rPr>
      </w:pPr>
    </w:p>
    <w:p w:rsidR="00CD2C6C" w:rsidRDefault="00CD2C6C" w:rsidP="00FC4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B1A21"/>
          <w:sz w:val="20"/>
          <w:szCs w:val="20"/>
        </w:rPr>
      </w:pPr>
    </w:p>
    <w:p w:rsidR="003F0669" w:rsidRDefault="003F0669" w:rsidP="003F06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3F0669" w:rsidTr="003F0669">
        <w:tc>
          <w:tcPr>
            <w:tcW w:w="3823" w:type="dxa"/>
          </w:tcPr>
          <w:p w:rsidR="003F0669" w:rsidRDefault="003F0669" w:rsidP="003F066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1B1A21"/>
                <w:sz w:val="20"/>
                <w:szCs w:val="20"/>
              </w:rPr>
            </w:pPr>
            <w:r>
              <w:rPr>
                <w:rFonts w:ascii="Arial" w:hAnsi="Arial" w:cs="Arial"/>
                <w:color w:val="1B1A21"/>
                <w:sz w:val="20"/>
                <w:szCs w:val="20"/>
              </w:rPr>
              <w:t>Società organizzatrice</w:t>
            </w:r>
          </w:p>
        </w:tc>
        <w:tc>
          <w:tcPr>
            <w:tcW w:w="5805" w:type="dxa"/>
          </w:tcPr>
          <w:p w:rsidR="003F0669" w:rsidRDefault="003F0669" w:rsidP="003F066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1B1A21"/>
                <w:sz w:val="20"/>
                <w:szCs w:val="20"/>
              </w:rPr>
            </w:pPr>
          </w:p>
        </w:tc>
      </w:tr>
      <w:tr w:rsidR="003F0669" w:rsidTr="003F0669">
        <w:tc>
          <w:tcPr>
            <w:tcW w:w="3823" w:type="dxa"/>
          </w:tcPr>
          <w:p w:rsidR="003F0669" w:rsidRDefault="003F0669" w:rsidP="003F066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1B1A21"/>
                <w:sz w:val="20"/>
                <w:szCs w:val="20"/>
              </w:rPr>
            </w:pPr>
            <w:r>
              <w:rPr>
                <w:rFonts w:ascii="Arial" w:hAnsi="Arial" w:cs="Arial"/>
                <w:color w:val="1B1A21"/>
                <w:sz w:val="20"/>
                <w:szCs w:val="20"/>
              </w:rPr>
              <w:t>Manifestazione ciclistica denominata</w:t>
            </w:r>
          </w:p>
        </w:tc>
        <w:tc>
          <w:tcPr>
            <w:tcW w:w="5805" w:type="dxa"/>
          </w:tcPr>
          <w:p w:rsidR="003F0669" w:rsidRDefault="003F0669" w:rsidP="003F066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1B1A21"/>
                <w:sz w:val="20"/>
                <w:szCs w:val="20"/>
              </w:rPr>
            </w:pPr>
          </w:p>
        </w:tc>
      </w:tr>
      <w:tr w:rsidR="003F0669" w:rsidTr="003F0669">
        <w:tc>
          <w:tcPr>
            <w:tcW w:w="3823" w:type="dxa"/>
          </w:tcPr>
          <w:p w:rsidR="003F0669" w:rsidRDefault="003F0669" w:rsidP="003F066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1B1A21"/>
                <w:sz w:val="20"/>
                <w:szCs w:val="20"/>
              </w:rPr>
            </w:pPr>
            <w:r>
              <w:rPr>
                <w:rFonts w:ascii="Arial" w:hAnsi="Arial" w:cs="Arial"/>
                <w:color w:val="1B1A21"/>
                <w:sz w:val="20"/>
                <w:szCs w:val="20"/>
              </w:rPr>
              <w:t>Data</w:t>
            </w:r>
            <w:r>
              <w:rPr>
                <w:rFonts w:ascii="Arial" w:hAnsi="Arial" w:cs="Arial"/>
                <w:color w:val="1B1A21"/>
                <w:sz w:val="20"/>
                <w:szCs w:val="20"/>
              </w:rPr>
              <w:t xml:space="preserve"> della manifestazione</w:t>
            </w:r>
          </w:p>
        </w:tc>
        <w:tc>
          <w:tcPr>
            <w:tcW w:w="5805" w:type="dxa"/>
          </w:tcPr>
          <w:p w:rsidR="003F0669" w:rsidRDefault="003F0669" w:rsidP="003F066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1B1A21"/>
                <w:sz w:val="20"/>
                <w:szCs w:val="20"/>
              </w:rPr>
            </w:pPr>
          </w:p>
        </w:tc>
      </w:tr>
      <w:tr w:rsidR="003F0669" w:rsidTr="003F0669">
        <w:tc>
          <w:tcPr>
            <w:tcW w:w="3823" w:type="dxa"/>
          </w:tcPr>
          <w:p w:rsidR="003F0669" w:rsidRDefault="003F0669" w:rsidP="003F066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1B1A21"/>
                <w:sz w:val="20"/>
                <w:szCs w:val="20"/>
              </w:rPr>
            </w:pPr>
            <w:r>
              <w:rPr>
                <w:rFonts w:ascii="Arial" w:hAnsi="Arial" w:cs="Arial"/>
                <w:color w:val="1B1A21"/>
                <w:sz w:val="20"/>
                <w:szCs w:val="20"/>
              </w:rPr>
              <w:t xml:space="preserve">Luogo </w:t>
            </w:r>
            <w:r>
              <w:rPr>
                <w:rFonts w:ascii="Arial" w:hAnsi="Arial" w:cs="Arial"/>
                <w:color w:val="1B1A21"/>
                <w:sz w:val="20"/>
                <w:szCs w:val="20"/>
              </w:rPr>
              <w:t>della manifestazione</w:t>
            </w:r>
          </w:p>
        </w:tc>
        <w:tc>
          <w:tcPr>
            <w:tcW w:w="5805" w:type="dxa"/>
          </w:tcPr>
          <w:p w:rsidR="003F0669" w:rsidRDefault="003F0669" w:rsidP="003F066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1B1A21"/>
                <w:sz w:val="20"/>
                <w:szCs w:val="20"/>
              </w:rPr>
            </w:pPr>
          </w:p>
        </w:tc>
      </w:tr>
    </w:tbl>
    <w:p w:rsidR="003F0669" w:rsidRDefault="003F0669" w:rsidP="003F06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</w:p>
    <w:p w:rsidR="003F0669" w:rsidRDefault="003F0669" w:rsidP="003F06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</w:p>
    <w:p w:rsidR="003F0669" w:rsidRDefault="003F0669" w:rsidP="003F06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</w:p>
    <w:p w:rsidR="003F0669" w:rsidRDefault="003F0669" w:rsidP="003F06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</w:p>
    <w:p w:rsidR="00FC49C7" w:rsidRPr="00444DC6" w:rsidRDefault="00FC49C7" w:rsidP="00444D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1B1A21"/>
          <w:sz w:val="20"/>
          <w:szCs w:val="20"/>
        </w:rPr>
      </w:pPr>
      <w:r w:rsidRPr="00444DC6">
        <w:rPr>
          <w:rFonts w:ascii="Arial" w:hAnsi="Arial" w:cs="Arial"/>
          <w:color w:val="1B1A21"/>
          <w:sz w:val="20"/>
          <w:szCs w:val="20"/>
        </w:rPr>
        <w:t>NORMATIVA DI RIFERIMENTO</w:t>
      </w:r>
    </w:p>
    <w:p w:rsidR="00FC49C7" w:rsidRPr="00444DC6" w:rsidRDefault="00FC49C7" w:rsidP="00444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</w:p>
    <w:p w:rsidR="00FC49C7" w:rsidRPr="00444DC6" w:rsidRDefault="00FC49C7" w:rsidP="00DA3D1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1B1A21"/>
          <w:sz w:val="20"/>
          <w:szCs w:val="20"/>
        </w:rPr>
      </w:pPr>
      <w:r w:rsidRPr="00444DC6">
        <w:rPr>
          <w:rFonts w:ascii="Arial" w:hAnsi="Arial" w:cs="Arial"/>
          <w:b/>
          <w:color w:val="1B1A21"/>
          <w:sz w:val="20"/>
          <w:szCs w:val="20"/>
        </w:rPr>
        <w:t xml:space="preserve">Decreto Ministeriale del 19 agosto 1996 - </w:t>
      </w:r>
      <w:r w:rsidRPr="00444DC6">
        <w:rPr>
          <w:rFonts w:ascii="Arial" w:hAnsi="Arial" w:cs="Arial"/>
          <w:color w:val="1B1A21"/>
          <w:sz w:val="20"/>
          <w:szCs w:val="20"/>
        </w:rPr>
        <w:t>Approvazione della regola tecnica di prevenzione incendi per la progettazione, costruzione ed esercizio dei locali di intrattenimento e di pubblico spettacolo</w:t>
      </w:r>
    </w:p>
    <w:p w:rsidR="00FC49C7" w:rsidRPr="00444DC6" w:rsidRDefault="00FC49C7" w:rsidP="00444D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1B1A21"/>
          <w:sz w:val="20"/>
          <w:szCs w:val="20"/>
        </w:rPr>
      </w:pPr>
      <w:r w:rsidRPr="00444DC6">
        <w:rPr>
          <w:rFonts w:ascii="Arial" w:hAnsi="Arial" w:cs="Arial"/>
          <w:b/>
          <w:color w:val="1B1A21"/>
          <w:sz w:val="20"/>
          <w:szCs w:val="20"/>
        </w:rPr>
        <w:t xml:space="preserve">Decreto Ministeriale del18 marzo 1996 - </w:t>
      </w:r>
      <w:r w:rsidRPr="00444DC6">
        <w:rPr>
          <w:rFonts w:ascii="Arial" w:hAnsi="Arial" w:cs="Arial"/>
          <w:color w:val="1B1A21"/>
          <w:sz w:val="20"/>
          <w:szCs w:val="20"/>
        </w:rPr>
        <w:t>Norme di sicurezza per la costruzione e l'esercizio degli impianti sportivi</w:t>
      </w:r>
    </w:p>
    <w:p w:rsidR="00FC49C7" w:rsidRPr="00444DC6" w:rsidRDefault="00FC49C7" w:rsidP="00444D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color w:val="1B1A21"/>
          <w:sz w:val="20"/>
          <w:szCs w:val="20"/>
        </w:rPr>
      </w:pPr>
      <w:r w:rsidRPr="00444DC6">
        <w:rPr>
          <w:rFonts w:ascii="Arial" w:hAnsi="Arial" w:cs="Arial"/>
          <w:b/>
          <w:color w:val="1B1A21"/>
          <w:sz w:val="20"/>
          <w:szCs w:val="20"/>
        </w:rPr>
        <w:t>Direttiva N. 11001/</w:t>
      </w:r>
      <w:r w:rsidR="00DA3D1C">
        <w:rPr>
          <w:rFonts w:ascii="Arial" w:hAnsi="Arial" w:cs="Arial"/>
          <w:b/>
          <w:color w:val="1B1A21"/>
          <w:sz w:val="20"/>
          <w:szCs w:val="20"/>
        </w:rPr>
        <w:t>1/</w:t>
      </w:r>
      <w:r w:rsidRPr="00444DC6">
        <w:rPr>
          <w:rFonts w:ascii="Arial" w:hAnsi="Arial" w:cs="Arial"/>
          <w:b/>
          <w:color w:val="1B1A21"/>
          <w:sz w:val="20"/>
          <w:szCs w:val="20"/>
        </w:rPr>
        <w:t>110 del</w:t>
      </w:r>
      <w:r w:rsidR="00DA3D1C">
        <w:rPr>
          <w:rFonts w:ascii="Arial" w:hAnsi="Arial" w:cs="Arial"/>
          <w:b/>
          <w:color w:val="1B1A21"/>
          <w:sz w:val="20"/>
          <w:szCs w:val="20"/>
        </w:rPr>
        <w:t xml:space="preserve"> 1</w:t>
      </w:r>
      <w:r w:rsidRPr="00444DC6">
        <w:rPr>
          <w:rFonts w:ascii="Arial" w:hAnsi="Arial" w:cs="Arial"/>
          <w:b/>
          <w:color w:val="1B1A21"/>
          <w:sz w:val="20"/>
          <w:szCs w:val="20"/>
        </w:rPr>
        <w:t>8/07/201</w:t>
      </w:r>
      <w:r w:rsidR="00DA3D1C">
        <w:rPr>
          <w:rFonts w:ascii="Arial" w:hAnsi="Arial" w:cs="Arial"/>
          <w:b/>
          <w:color w:val="1B1A21"/>
          <w:sz w:val="20"/>
          <w:szCs w:val="20"/>
        </w:rPr>
        <w:t>8</w:t>
      </w:r>
      <w:r w:rsidRPr="00444DC6">
        <w:rPr>
          <w:rFonts w:ascii="Arial" w:hAnsi="Arial" w:cs="Arial"/>
          <w:b/>
          <w:color w:val="1B1A21"/>
          <w:sz w:val="20"/>
          <w:szCs w:val="20"/>
        </w:rPr>
        <w:t xml:space="preserve"> del Ministero dell’Interno</w:t>
      </w:r>
    </w:p>
    <w:p w:rsidR="00FC49C7" w:rsidRPr="00444DC6" w:rsidRDefault="00FC49C7" w:rsidP="00444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B1A21"/>
          <w:sz w:val="20"/>
          <w:szCs w:val="20"/>
        </w:rPr>
      </w:pPr>
    </w:p>
    <w:p w:rsidR="00502575" w:rsidRPr="00444DC6" w:rsidRDefault="00502575" w:rsidP="00444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B1A21"/>
          <w:sz w:val="20"/>
          <w:szCs w:val="20"/>
        </w:rPr>
      </w:pPr>
    </w:p>
    <w:p w:rsidR="00DA3D1C" w:rsidRDefault="00DA3D1C" w:rsidP="00DA3D1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1B1A21"/>
          <w:sz w:val="20"/>
          <w:szCs w:val="20"/>
        </w:rPr>
      </w:pPr>
      <w:r w:rsidRPr="00DA3D1C">
        <w:rPr>
          <w:rFonts w:ascii="Arial" w:hAnsi="Arial" w:cs="Arial"/>
          <w:color w:val="1B1A21"/>
          <w:sz w:val="20"/>
          <w:szCs w:val="20"/>
        </w:rPr>
        <w:t>DESCRIZIONE DELLE PECULIARITÀ DELLE GARE CICLISTICHE</w:t>
      </w:r>
    </w:p>
    <w:p w:rsidR="00DA3D1C" w:rsidRPr="00DA3D1C" w:rsidRDefault="00DA3D1C" w:rsidP="00DA3D1C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1B1A21"/>
          <w:sz w:val="20"/>
          <w:szCs w:val="20"/>
        </w:rPr>
      </w:pPr>
    </w:p>
    <w:p w:rsidR="00DA3D1C" w:rsidRPr="00DA3D1C" w:rsidRDefault="00DA3D1C" w:rsidP="00DA3D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  <w:r w:rsidRPr="00DA3D1C">
        <w:rPr>
          <w:rFonts w:ascii="Arial" w:hAnsi="Arial" w:cs="Arial"/>
          <w:color w:val="1B1A21"/>
          <w:sz w:val="20"/>
          <w:szCs w:val="20"/>
        </w:rPr>
        <w:t>Il seguente piano di sicurezza è stato redatto al fine di essere utilizzato unicamente per le</w:t>
      </w:r>
      <w:r>
        <w:rPr>
          <w:rFonts w:ascii="Arial" w:hAnsi="Arial" w:cs="Arial"/>
          <w:color w:val="1B1A21"/>
          <w:sz w:val="20"/>
          <w:szCs w:val="20"/>
        </w:rPr>
        <w:t xml:space="preserve"> </w:t>
      </w:r>
      <w:r w:rsidRPr="00DA3D1C">
        <w:rPr>
          <w:rFonts w:ascii="Arial" w:hAnsi="Arial" w:cs="Arial"/>
          <w:color w:val="1B1A21"/>
          <w:sz w:val="20"/>
          <w:szCs w:val="20"/>
        </w:rPr>
        <w:t>manifestazioni ciclistiche d</w:t>
      </w:r>
      <w:r>
        <w:rPr>
          <w:rFonts w:ascii="Arial" w:hAnsi="Arial" w:cs="Arial"/>
          <w:color w:val="1B1A21"/>
          <w:sz w:val="20"/>
          <w:szCs w:val="20"/>
        </w:rPr>
        <w:t>i ACSI Ciclismo</w:t>
      </w:r>
      <w:r w:rsidRPr="00DA3D1C">
        <w:rPr>
          <w:rFonts w:ascii="Arial" w:hAnsi="Arial" w:cs="Arial"/>
          <w:color w:val="1B1A21"/>
          <w:sz w:val="20"/>
          <w:szCs w:val="20"/>
        </w:rPr>
        <w:t>.</w:t>
      </w:r>
    </w:p>
    <w:p w:rsidR="00DA3D1C" w:rsidRPr="00DA3D1C" w:rsidRDefault="00DA3D1C" w:rsidP="00DA3D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  <w:r w:rsidRPr="00DA3D1C">
        <w:rPr>
          <w:rFonts w:ascii="Arial" w:hAnsi="Arial" w:cs="Arial"/>
          <w:color w:val="1B1A21"/>
          <w:sz w:val="20"/>
          <w:szCs w:val="20"/>
        </w:rPr>
        <w:t xml:space="preserve">Le gare </w:t>
      </w:r>
      <w:r>
        <w:rPr>
          <w:rFonts w:ascii="Arial" w:hAnsi="Arial" w:cs="Arial"/>
          <w:color w:val="1B1A21"/>
          <w:sz w:val="20"/>
          <w:szCs w:val="20"/>
        </w:rPr>
        <w:t xml:space="preserve">di </w:t>
      </w:r>
      <w:r>
        <w:rPr>
          <w:rFonts w:ascii="Arial" w:hAnsi="Arial" w:cs="Arial"/>
          <w:color w:val="1B1A21"/>
          <w:sz w:val="20"/>
          <w:szCs w:val="20"/>
        </w:rPr>
        <w:t>ACSI Ciclismo</w:t>
      </w:r>
      <w:r w:rsidRPr="00DA3D1C">
        <w:rPr>
          <w:rFonts w:ascii="Arial" w:hAnsi="Arial" w:cs="Arial"/>
          <w:color w:val="1B1A21"/>
          <w:sz w:val="20"/>
          <w:szCs w:val="20"/>
        </w:rPr>
        <w:t xml:space="preserve"> </w:t>
      </w:r>
      <w:r w:rsidRPr="00DA3D1C">
        <w:rPr>
          <w:rFonts w:ascii="Arial" w:hAnsi="Arial" w:cs="Arial"/>
          <w:color w:val="1B1A21"/>
          <w:sz w:val="20"/>
          <w:szCs w:val="20"/>
        </w:rPr>
        <w:t>sono eventi che hanno una loro particolarità, in quanto la</w:t>
      </w:r>
      <w:r>
        <w:rPr>
          <w:rFonts w:ascii="Arial" w:hAnsi="Arial" w:cs="Arial"/>
          <w:color w:val="1B1A21"/>
          <w:sz w:val="20"/>
          <w:szCs w:val="20"/>
        </w:rPr>
        <w:t xml:space="preserve"> </w:t>
      </w:r>
      <w:r w:rsidRPr="00DA3D1C">
        <w:rPr>
          <w:rFonts w:ascii="Arial" w:hAnsi="Arial" w:cs="Arial"/>
          <w:color w:val="1B1A21"/>
          <w:sz w:val="20"/>
          <w:szCs w:val="20"/>
        </w:rPr>
        <w:t>maggior parte delle persone coinvolte non sono spettatori ma sono gli stessi partecipanti,</w:t>
      </w:r>
      <w:r>
        <w:rPr>
          <w:rFonts w:ascii="Arial" w:hAnsi="Arial" w:cs="Arial"/>
          <w:color w:val="1B1A21"/>
          <w:sz w:val="20"/>
          <w:szCs w:val="20"/>
        </w:rPr>
        <w:t xml:space="preserve"> </w:t>
      </w:r>
      <w:r w:rsidRPr="00DA3D1C">
        <w:rPr>
          <w:rFonts w:ascii="Arial" w:hAnsi="Arial" w:cs="Arial"/>
          <w:color w:val="1B1A21"/>
          <w:sz w:val="20"/>
          <w:szCs w:val="20"/>
        </w:rPr>
        <w:t>differentemente da quanto accade nelle altre manifestazioni sportive. Il maggior rischio, comunque</w:t>
      </w:r>
      <w:r>
        <w:rPr>
          <w:rFonts w:ascii="Arial" w:hAnsi="Arial" w:cs="Arial"/>
          <w:color w:val="1B1A21"/>
          <w:sz w:val="20"/>
          <w:szCs w:val="20"/>
        </w:rPr>
        <w:t xml:space="preserve"> </w:t>
      </w:r>
      <w:r w:rsidRPr="00DA3D1C">
        <w:rPr>
          <w:rFonts w:ascii="Arial" w:hAnsi="Arial" w:cs="Arial"/>
          <w:color w:val="1B1A21"/>
          <w:sz w:val="20"/>
          <w:szCs w:val="20"/>
        </w:rPr>
        <w:t>basso, può essere individuato quando avviene l’assembramento alla partenza e all’arrivo.</w:t>
      </w:r>
    </w:p>
    <w:p w:rsidR="00DA3D1C" w:rsidRPr="00DA3D1C" w:rsidRDefault="00DA3D1C" w:rsidP="00DA3D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  <w:r w:rsidRPr="00DA3D1C">
        <w:rPr>
          <w:rFonts w:ascii="Arial" w:hAnsi="Arial" w:cs="Arial"/>
          <w:color w:val="1B1A21"/>
          <w:sz w:val="20"/>
          <w:szCs w:val="20"/>
        </w:rPr>
        <w:t xml:space="preserve">Analizzando il rischio di incendio, anch’esso risulta </w:t>
      </w:r>
      <w:r>
        <w:rPr>
          <w:rFonts w:ascii="Arial" w:hAnsi="Arial" w:cs="Arial"/>
          <w:color w:val="1B1A21"/>
          <w:sz w:val="20"/>
          <w:szCs w:val="20"/>
        </w:rPr>
        <w:t xml:space="preserve">molto </w:t>
      </w:r>
      <w:r w:rsidRPr="00DA3D1C">
        <w:rPr>
          <w:rFonts w:ascii="Arial" w:hAnsi="Arial" w:cs="Arial"/>
          <w:color w:val="1B1A21"/>
          <w:sz w:val="20"/>
          <w:szCs w:val="20"/>
        </w:rPr>
        <w:t xml:space="preserve">basso, in quanto </w:t>
      </w:r>
      <w:r>
        <w:rPr>
          <w:rFonts w:ascii="Arial" w:hAnsi="Arial" w:cs="Arial"/>
          <w:color w:val="1B1A21"/>
          <w:sz w:val="20"/>
          <w:szCs w:val="20"/>
        </w:rPr>
        <w:t>non vi sono</w:t>
      </w:r>
      <w:r w:rsidRPr="00DA3D1C">
        <w:rPr>
          <w:rFonts w:ascii="Arial" w:hAnsi="Arial" w:cs="Arial"/>
          <w:color w:val="1B1A21"/>
          <w:sz w:val="20"/>
          <w:szCs w:val="20"/>
        </w:rPr>
        <w:t xml:space="preserve"> fonti di innesco.</w:t>
      </w:r>
    </w:p>
    <w:p w:rsidR="00DA3D1C" w:rsidRDefault="00DA3D1C" w:rsidP="00DA3D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  <w:r w:rsidRPr="00DA3D1C">
        <w:rPr>
          <w:rFonts w:ascii="Arial" w:hAnsi="Arial" w:cs="Arial"/>
          <w:color w:val="1B1A21"/>
          <w:sz w:val="20"/>
          <w:szCs w:val="20"/>
        </w:rPr>
        <w:t>L’area interessata dalla manifestazione è all’aperto, facilmente accessibile da qualsiasi mezzo di</w:t>
      </w:r>
      <w:r>
        <w:rPr>
          <w:rFonts w:ascii="Arial" w:hAnsi="Arial" w:cs="Arial"/>
          <w:color w:val="1B1A21"/>
          <w:sz w:val="20"/>
          <w:szCs w:val="20"/>
        </w:rPr>
        <w:t xml:space="preserve"> </w:t>
      </w:r>
      <w:r w:rsidRPr="00DA3D1C">
        <w:rPr>
          <w:rFonts w:ascii="Arial" w:hAnsi="Arial" w:cs="Arial"/>
          <w:color w:val="1B1A21"/>
          <w:sz w:val="20"/>
          <w:szCs w:val="20"/>
        </w:rPr>
        <w:t>soccorso.</w:t>
      </w:r>
    </w:p>
    <w:p w:rsidR="00DA3D1C" w:rsidRPr="00DA3D1C" w:rsidRDefault="00DA3D1C" w:rsidP="00DA3D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</w:p>
    <w:p w:rsidR="00DA3D1C" w:rsidRDefault="00DA3D1C" w:rsidP="00DA3D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</w:p>
    <w:p w:rsidR="00FC49C7" w:rsidRPr="00444DC6" w:rsidRDefault="00FC49C7" w:rsidP="00444D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1B1A21"/>
          <w:sz w:val="20"/>
          <w:szCs w:val="20"/>
        </w:rPr>
      </w:pPr>
      <w:r w:rsidRPr="00444DC6">
        <w:rPr>
          <w:rFonts w:ascii="Arial" w:hAnsi="Arial" w:cs="Arial"/>
          <w:color w:val="1B1A21"/>
          <w:sz w:val="20"/>
          <w:szCs w:val="20"/>
        </w:rPr>
        <w:t>REQUISITI DI ACCESSO ALL’AREA</w:t>
      </w:r>
      <w:r w:rsidR="00502575" w:rsidRPr="00444DC6">
        <w:rPr>
          <w:rFonts w:ascii="Arial" w:hAnsi="Arial" w:cs="Arial"/>
          <w:color w:val="1B1A21"/>
          <w:sz w:val="20"/>
          <w:szCs w:val="20"/>
        </w:rPr>
        <w:t xml:space="preserve"> </w:t>
      </w:r>
    </w:p>
    <w:p w:rsidR="00502575" w:rsidRPr="00444DC6" w:rsidRDefault="00502575" w:rsidP="00444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</w:p>
    <w:p w:rsidR="00DA3D1C" w:rsidRPr="00DA3D1C" w:rsidRDefault="00DA3D1C" w:rsidP="00DA3D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  <w:r w:rsidRPr="00DA3D1C">
        <w:rPr>
          <w:rFonts w:ascii="Arial" w:hAnsi="Arial" w:cs="Arial"/>
          <w:color w:val="1B1A21"/>
          <w:sz w:val="20"/>
          <w:szCs w:val="20"/>
        </w:rPr>
        <w:t>Vengono rispettate le indicazioni di accesso per i mezzi di soccorso in quanto:</w:t>
      </w:r>
    </w:p>
    <w:p w:rsidR="00FC49C7" w:rsidRPr="00444DC6" w:rsidRDefault="00502575" w:rsidP="00444DC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B4A4D"/>
          <w:sz w:val="20"/>
          <w:szCs w:val="20"/>
        </w:rPr>
      </w:pPr>
      <w:r w:rsidRPr="00444DC6">
        <w:rPr>
          <w:rFonts w:ascii="Arial" w:hAnsi="Arial" w:cs="Arial"/>
          <w:color w:val="1B1A21"/>
          <w:sz w:val="20"/>
          <w:szCs w:val="20"/>
        </w:rPr>
        <w:t>la larghezza dell’area transennata di arrivo è maggiore di</w:t>
      </w:r>
      <w:r w:rsidR="00FC49C7" w:rsidRPr="00444DC6">
        <w:rPr>
          <w:rFonts w:ascii="Arial" w:hAnsi="Arial" w:cs="Arial"/>
          <w:color w:val="1B1A21"/>
          <w:sz w:val="20"/>
          <w:szCs w:val="20"/>
        </w:rPr>
        <w:t xml:space="preserve"> 3.50 m</w:t>
      </w:r>
      <w:r w:rsidR="00FC49C7" w:rsidRPr="00444DC6">
        <w:rPr>
          <w:rFonts w:ascii="Arial" w:hAnsi="Arial" w:cs="Arial"/>
          <w:color w:val="4B4A4D"/>
          <w:sz w:val="20"/>
          <w:szCs w:val="20"/>
        </w:rPr>
        <w:t>.</w:t>
      </w:r>
    </w:p>
    <w:p w:rsidR="00FC49C7" w:rsidRPr="00444DC6" w:rsidRDefault="00502575" w:rsidP="00444DC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  <w:r w:rsidRPr="00444DC6">
        <w:rPr>
          <w:rFonts w:ascii="Arial" w:hAnsi="Arial" w:cs="Arial"/>
          <w:color w:val="1B1A21"/>
          <w:sz w:val="20"/>
          <w:szCs w:val="20"/>
        </w:rPr>
        <w:t>l’altezza</w:t>
      </w:r>
      <w:r w:rsidR="00FC49C7" w:rsidRPr="00444DC6">
        <w:rPr>
          <w:rFonts w:ascii="Arial" w:hAnsi="Arial" w:cs="Arial"/>
          <w:color w:val="1B1A21"/>
          <w:sz w:val="20"/>
          <w:szCs w:val="20"/>
        </w:rPr>
        <w:t xml:space="preserve"> libera</w:t>
      </w:r>
      <w:r w:rsidRPr="00444DC6">
        <w:rPr>
          <w:rFonts w:ascii="Arial" w:hAnsi="Arial" w:cs="Arial"/>
          <w:color w:val="1B1A21"/>
          <w:sz w:val="20"/>
          <w:szCs w:val="20"/>
        </w:rPr>
        <w:t xml:space="preserve"> è di almeno</w:t>
      </w:r>
      <w:r w:rsidR="00FC49C7" w:rsidRPr="00444DC6">
        <w:rPr>
          <w:rFonts w:ascii="Arial" w:hAnsi="Arial" w:cs="Arial"/>
          <w:color w:val="1B1A21"/>
          <w:sz w:val="20"/>
          <w:szCs w:val="20"/>
        </w:rPr>
        <w:t xml:space="preserve"> 4</w:t>
      </w:r>
      <w:r w:rsidR="00FC49C7" w:rsidRPr="00444DC6">
        <w:rPr>
          <w:rFonts w:ascii="Arial" w:hAnsi="Arial" w:cs="Arial"/>
          <w:color w:val="4B4A4D"/>
          <w:sz w:val="20"/>
          <w:szCs w:val="20"/>
        </w:rPr>
        <w:t xml:space="preserve">.00 </w:t>
      </w:r>
      <w:r w:rsidR="00FC49C7" w:rsidRPr="00444DC6">
        <w:rPr>
          <w:rFonts w:ascii="Arial" w:hAnsi="Arial" w:cs="Arial"/>
          <w:color w:val="1B1A21"/>
          <w:sz w:val="20"/>
          <w:szCs w:val="20"/>
        </w:rPr>
        <w:t>m.</w:t>
      </w:r>
    </w:p>
    <w:p w:rsidR="00502575" w:rsidRPr="00444DC6" w:rsidRDefault="00502575" w:rsidP="00444DC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  <w:r w:rsidRPr="00444DC6">
        <w:rPr>
          <w:rFonts w:ascii="Arial" w:hAnsi="Arial" w:cs="Arial"/>
          <w:color w:val="1B1A21"/>
          <w:sz w:val="20"/>
          <w:szCs w:val="20"/>
        </w:rPr>
        <w:t>l’accesso dei mezzi di soccorso è garantito in quanto si utilizza la normale viabilità</w:t>
      </w:r>
    </w:p>
    <w:p w:rsidR="00FC49C7" w:rsidRPr="00444DC6" w:rsidRDefault="00502575" w:rsidP="00444DC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B4A4D"/>
          <w:sz w:val="20"/>
          <w:szCs w:val="20"/>
        </w:rPr>
      </w:pPr>
      <w:r w:rsidRPr="00444DC6">
        <w:rPr>
          <w:rFonts w:ascii="Arial" w:hAnsi="Arial" w:cs="Arial"/>
          <w:color w:val="1B1A21"/>
          <w:sz w:val="20"/>
          <w:szCs w:val="20"/>
        </w:rPr>
        <w:t xml:space="preserve">il </w:t>
      </w:r>
      <w:r w:rsidR="00FC49C7" w:rsidRPr="00444DC6">
        <w:rPr>
          <w:rFonts w:ascii="Arial" w:hAnsi="Arial" w:cs="Arial"/>
          <w:color w:val="1B1A21"/>
          <w:sz w:val="20"/>
          <w:szCs w:val="20"/>
        </w:rPr>
        <w:t>raggio di volta</w:t>
      </w:r>
      <w:r w:rsidRPr="00444DC6">
        <w:rPr>
          <w:rFonts w:ascii="Arial" w:hAnsi="Arial" w:cs="Arial"/>
          <w:color w:val="1B1A21"/>
          <w:sz w:val="20"/>
          <w:szCs w:val="20"/>
        </w:rPr>
        <w:t xml:space="preserve"> assicurato è maggiore si</w:t>
      </w:r>
      <w:r w:rsidR="00FC49C7" w:rsidRPr="00444DC6">
        <w:rPr>
          <w:rFonts w:ascii="Arial" w:hAnsi="Arial" w:cs="Arial"/>
          <w:color w:val="1B1A21"/>
          <w:sz w:val="20"/>
          <w:szCs w:val="20"/>
        </w:rPr>
        <w:t xml:space="preserve"> 13 m</w:t>
      </w:r>
      <w:r w:rsidR="00FC49C7" w:rsidRPr="00444DC6">
        <w:rPr>
          <w:rFonts w:ascii="Arial" w:hAnsi="Arial" w:cs="Arial"/>
          <w:color w:val="4B4A4D"/>
          <w:sz w:val="20"/>
          <w:szCs w:val="20"/>
        </w:rPr>
        <w:t>.</w:t>
      </w:r>
    </w:p>
    <w:p w:rsidR="00FC49C7" w:rsidRDefault="00502575" w:rsidP="00444DC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  <w:r w:rsidRPr="00444DC6">
        <w:rPr>
          <w:rFonts w:ascii="Arial" w:hAnsi="Arial" w:cs="Arial"/>
          <w:color w:val="1B1A21"/>
          <w:sz w:val="20"/>
          <w:szCs w:val="20"/>
        </w:rPr>
        <w:t>la pendenza</w:t>
      </w:r>
      <w:r w:rsidR="00FC49C7" w:rsidRPr="00444DC6">
        <w:rPr>
          <w:rFonts w:ascii="Arial" w:hAnsi="Arial" w:cs="Arial"/>
          <w:color w:val="1B1A21"/>
          <w:sz w:val="20"/>
          <w:szCs w:val="20"/>
        </w:rPr>
        <w:t xml:space="preserve"> non </w:t>
      </w:r>
      <w:r w:rsidRPr="00444DC6">
        <w:rPr>
          <w:rFonts w:ascii="Arial" w:hAnsi="Arial" w:cs="Arial"/>
          <w:color w:val="1B1A21"/>
          <w:sz w:val="20"/>
          <w:szCs w:val="20"/>
        </w:rPr>
        <w:t xml:space="preserve">è </w:t>
      </w:r>
      <w:r w:rsidR="00FC49C7" w:rsidRPr="00444DC6">
        <w:rPr>
          <w:rFonts w:ascii="Arial" w:hAnsi="Arial" w:cs="Arial"/>
          <w:color w:val="1B1A21"/>
          <w:sz w:val="20"/>
          <w:szCs w:val="20"/>
        </w:rPr>
        <w:t>superiore al 10%</w:t>
      </w:r>
    </w:p>
    <w:p w:rsidR="00DA3D1C" w:rsidRPr="00DA3D1C" w:rsidRDefault="00DA3D1C" w:rsidP="00DA3D1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  <w:r>
        <w:rPr>
          <w:rFonts w:ascii="Arial" w:hAnsi="Arial" w:cs="Arial"/>
          <w:color w:val="1B1A21"/>
          <w:sz w:val="20"/>
          <w:szCs w:val="20"/>
        </w:rPr>
        <w:t>l</w:t>
      </w:r>
      <w:r w:rsidRPr="00DA3D1C">
        <w:rPr>
          <w:rFonts w:ascii="Arial" w:hAnsi="Arial" w:cs="Arial"/>
          <w:color w:val="1B1A21"/>
          <w:sz w:val="20"/>
          <w:szCs w:val="20"/>
        </w:rPr>
        <w:t>’area di ammassamento per i mezzi di soccorso coincide con il parcheggio per le auto. La viabilità</w:t>
      </w:r>
      <w:r>
        <w:rPr>
          <w:rFonts w:ascii="Arial" w:hAnsi="Arial" w:cs="Arial"/>
          <w:color w:val="1B1A21"/>
          <w:sz w:val="20"/>
          <w:szCs w:val="20"/>
        </w:rPr>
        <w:t xml:space="preserve"> </w:t>
      </w:r>
      <w:r w:rsidRPr="00DA3D1C">
        <w:rPr>
          <w:rFonts w:ascii="Arial" w:hAnsi="Arial" w:cs="Arial"/>
          <w:color w:val="1B1A21"/>
          <w:sz w:val="20"/>
          <w:szCs w:val="20"/>
        </w:rPr>
        <w:t>per i mezzi di soccorso sarà quella ordinaria.</w:t>
      </w:r>
    </w:p>
    <w:p w:rsidR="00502575" w:rsidRPr="00444DC6" w:rsidRDefault="00502575" w:rsidP="00444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</w:p>
    <w:p w:rsidR="00502575" w:rsidRPr="00444DC6" w:rsidRDefault="00502575" w:rsidP="00444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</w:p>
    <w:p w:rsidR="00502575" w:rsidRPr="00444DC6" w:rsidRDefault="00502575" w:rsidP="00444D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1B1A21"/>
          <w:sz w:val="20"/>
          <w:szCs w:val="20"/>
        </w:rPr>
      </w:pPr>
      <w:r w:rsidRPr="00444DC6">
        <w:rPr>
          <w:rFonts w:ascii="Arial" w:hAnsi="Arial" w:cs="Arial"/>
          <w:color w:val="1B1A21"/>
          <w:sz w:val="20"/>
          <w:szCs w:val="20"/>
        </w:rPr>
        <w:t>PERCORSI SEPARATI DI ACCESSO ALL’AREA E DI DEFLUSSO DEL PUBBLICO</w:t>
      </w:r>
    </w:p>
    <w:p w:rsidR="00D90E3A" w:rsidRPr="00444DC6" w:rsidRDefault="00D90E3A" w:rsidP="00444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</w:p>
    <w:p w:rsidR="00BB5C66" w:rsidRPr="00BB5C66" w:rsidRDefault="00BB5C66" w:rsidP="00BB5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B1A21"/>
          <w:sz w:val="20"/>
          <w:szCs w:val="20"/>
        </w:rPr>
      </w:pPr>
      <w:r w:rsidRPr="00BB5C66">
        <w:rPr>
          <w:rFonts w:ascii="Arial" w:hAnsi="Arial" w:cs="Arial"/>
          <w:color w:val="1B1A21"/>
          <w:sz w:val="20"/>
          <w:szCs w:val="20"/>
        </w:rPr>
        <w:t xml:space="preserve">Considerata la modesta entità dell’evento in termini di affollamento si ritiene che le esigenze di </w:t>
      </w:r>
      <w:proofErr w:type="spellStart"/>
      <w:r w:rsidRPr="00BB5C66">
        <w:rPr>
          <w:rFonts w:ascii="Arial" w:hAnsi="Arial" w:cs="Arial"/>
          <w:color w:val="1B1A21"/>
          <w:sz w:val="20"/>
          <w:szCs w:val="20"/>
        </w:rPr>
        <w:t>safety</w:t>
      </w:r>
      <w:proofErr w:type="spellEnd"/>
      <w:r w:rsidRPr="00BB5C66">
        <w:rPr>
          <w:rFonts w:ascii="Arial" w:hAnsi="Arial" w:cs="Arial"/>
          <w:color w:val="1B1A21"/>
          <w:sz w:val="20"/>
          <w:szCs w:val="20"/>
        </w:rPr>
        <w:t xml:space="preserve"> </w:t>
      </w:r>
      <w:r w:rsidRPr="00BB5C66">
        <w:rPr>
          <w:rFonts w:ascii="Arial" w:hAnsi="Arial" w:cs="Arial"/>
          <w:color w:val="1B1A21"/>
          <w:sz w:val="20"/>
          <w:szCs w:val="20"/>
        </w:rPr>
        <w:t>non richiedano percorsi separati di accesso e deflusso.</w:t>
      </w:r>
    </w:p>
    <w:p w:rsidR="00502575" w:rsidRPr="00444DC6" w:rsidRDefault="00502575" w:rsidP="00444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E3E41"/>
          <w:sz w:val="20"/>
          <w:szCs w:val="20"/>
        </w:rPr>
      </w:pPr>
    </w:p>
    <w:p w:rsidR="00D90E3A" w:rsidRPr="00444DC6" w:rsidRDefault="00D90E3A" w:rsidP="00444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E3E41"/>
          <w:sz w:val="20"/>
          <w:szCs w:val="20"/>
        </w:rPr>
      </w:pPr>
    </w:p>
    <w:p w:rsidR="00D90E3A" w:rsidRPr="00444DC6" w:rsidRDefault="00D90E3A" w:rsidP="00444D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1B1A21"/>
          <w:sz w:val="20"/>
          <w:szCs w:val="20"/>
        </w:rPr>
      </w:pPr>
      <w:r w:rsidRPr="00444DC6">
        <w:rPr>
          <w:rFonts w:ascii="Arial" w:hAnsi="Arial" w:cs="Arial"/>
          <w:color w:val="1B1A21"/>
          <w:sz w:val="20"/>
          <w:szCs w:val="20"/>
        </w:rPr>
        <w:t>CAPIENZA DELL’AREA DELLA MANIFESTAZIONE</w:t>
      </w:r>
    </w:p>
    <w:p w:rsidR="00D90E3A" w:rsidRPr="00444DC6" w:rsidRDefault="00D90E3A" w:rsidP="00444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C1C22"/>
          <w:sz w:val="20"/>
          <w:szCs w:val="20"/>
        </w:rPr>
      </w:pPr>
    </w:p>
    <w:p w:rsidR="00D90E3A" w:rsidRPr="00444DC6" w:rsidRDefault="00D90E3A" w:rsidP="00410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C1C22"/>
          <w:sz w:val="20"/>
          <w:szCs w:val="20"/>
        </w:rPr>
      </w:pPr>
      <w:r w:rsidRPr="00444DC6">
        <w:rPr>
          <w:rFonts w:ascii="Arial" w:hAnsi="Arial" w:cs="Arial"/>
          <w:color w:val="1C1C22"/>
          <w:sz w:val="20"/>
          <w:szCs w:val="20"/>
        </w:rPr>
        <w:t xml:space="preserve">Lo spazio per gli spettatori è ricavato su pubblica via, delimitato dal lato strada da delle transenne al fine di garantire la sicurezza dei ciclisti e del pubblico. L’affollamento dell’area ha come indice massimo il rapporto persone/mq pari a 0,7. Non si ritiene di utilizzare altre misure di confinamento in quanto il numero di spettatori </w:t>
      </w:r>
      <w:r w:rsidR="0041013C">
        <w:rPr>
          <w:rFonts w:ascii="Arial" w:hAnsi="Arial" w:cs="Arial"/>
          <w:color w:val="1C1C22"/>
          <w:sz w:val="20"/>
          <w:szCs w:val="20"/>
        </w:rPr>
        <w:t xml:space="preserve">non </w:t>
      </w:r>
      <w:r w:rsidRPr="00444DC6">
        <w:rPr>
          <w:rFonts w:ascii="Arial" w:hAnsi="Arial" w:cs="Arial"/>
          <w:color w:val="1C1C22"/>
          <w:sz w:val="20"/>
          <w:szCs w:val="20"/>
        </w:rPr>
        <w:t xml:space="preserve">è </w:t>
      </w:r>
      <w:r w:rsidR="0041013C">
        <w:rPr>
          <w:rFonts w:ascii="Arial" w:hAnsi="Arial" w:cs="Arial"/>
          <w:color w:val="1C1C22"/>
          <w:sz w:val="20"/>
          <w:szCs w:val="20"/>
        </w:rPr>
        <w:t>elevato</w:t>
      </w:r>
      <w:r w:rsidRPr="00444DC6">
        <w:rPr>
          <w:rFonts w:ascii="Arial" w:hAnsi="Arial" w:cs="Arial"/>
          <w:color w:val="1C1C22"/>
          <w:sz w:val="20"/>
          <w:szCs w:val="20"/>
        </w:rPr>
        <w:t>.</w:t>
      </w:r>
    </w:p>
    <w:p w:rsidR="00D90E3A" w:rsidRPr="00444DC6" w:rsidRDefault="00D90E3A" w:rsidP="00444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C1C22"/>
          <w:sz w:val="20"/>
          <w:szCs w:val="20"/>
        </w:rPr>
      </w:pPr>
    </w:p>
    <w:p w:rsidR="00D90E3A" w:rsidRPr="00444DC6" w:rsidRDefault="00D90E3A" w:rsidP="00444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C1C22"/>
          <w:sz w:val="20"/>
          <w:szCs w:val="20"/>
        </w:rPr>
      </w:pPr>
    </w:p>
    <w:p w:rsidR="00D90E3A" w:rsidRPr="00444DC6" w:rsidRDefault="00D90E3A" w:rsidP="00444D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1B1A21"/>
          <w:sz w:val="20"/>
          <w:szCs w:val="20"/>
        </w:rPr>
      </w:pPr>
      <w:r w:rsidRPr="00444DC6">
        <w:rPr>
          <w:rFonts w:ascii="Arial" w:hAnsi="Arial" w:cs="Arial"/>
          <w:color w:val="1B1A21"/>
          <w:sz w:val="20"/>
          <w:szCs w:val="20"/>
        </w:rPr>
        <w:t>SUDDIVISIONE DELLA ZONA SPETTATORI IN SETTORI</w:t>
      </w:r>
    </w:p>
    <w:p w:rsidR="00D90E3A" w:rsidRPr="00444DC6" w:rsidRDefault="00D90E3A" w:rsidP="00444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C1C22"/>
          <w:sz w:val="20"/>
          <w:szCs w:val="20"/>
        </w:rPr>
      </w:pPr>
    </w:p>
    <w:p w:rsidR="0041013C" w:rsidRPr="0041013C" w:rsidRDefault="0041013C" w:rsidP="00410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  <w:r w:rsidRPr="0041013C">
        <w:rPr>
          <w:rFonts w:ascii="Arial" w:hAnsi="Arial" w:cs="Arial"/>
          <w:color w:val="1B1A21"/>
          <w:sz w:val="20"/>
          <w:szCs w:val="20"/>
        </w:rPr>
        <w:t>Considerata la modesta entità dell’evento, cioè meno di 10000 persone, si ritiene che il requisito di</w:t>
      </w:r>
      <w:r w:rsidRPr="0041013C">
        <w:rPr>
          <w:rFonts w:ascii="Arial" w:hAnsi="Arial" w:cs="Arial"/>
          <w:color w:val="1B1A21"/>
          <w:sz w:val="20"/>
          <w:szCs w:val="20"/>
        </w:rPr>
        <w:t xml:space="preserve"> </w:t>
      </w:r>
      <w:r w:rsidRPr="0041013C">
        <w:rPr>
          <w:rFonts w:ascii="Arial" w:hAnsi="Arial" w:cs="Arial"/>
          <w:color w:val="1B1A21"/>
          <w:sz w:val="20"/>
          <w:szCs w:val="20"/>
        </w:rPr>
        <w:t xml:space="preserve">separazione della zona spettatori che assistono in piedi allo spettacolo, per i soli aspetti di </w:t>
      </w:r>
      <w:proofErr w:type="spellStart"/>
      <w:r w:rsidRPr="0041013C">
        <w:rPr>
          <w:rFonts w:ascii="Arial" w:hAnsi="Arial" w:cs="Arial"/>
          <w:color w:val="1B1A21"/>
          <w:sz w:val="20"/>
          <w:szCs w:val="20"/>
        </w:rPr>
        <w:t>safety</w:t>
      </w:r>
      <w:proofErr w:type="spellEnd"/>
      <w:r w:rsidRPr="0041013C">
        <w:rPr>
          <w:rFonts w:ascii="Arial" w:hAnsi="Arial" w:cs="Arial"/>
          <w:color w:val="1B1A21"/>
          <w:sz w:val="20"/>
          <w:szCs w:val="20"/>
        </w:rPr>
        <w:t>, non</w:t>
      </w:r>
      <w:r w:rsidRPr="0041013C">
        <w:rPr>
          <w:rFonts w:ascii="Arial" w:hAnsi="Arial" w:cs="Arial"/>
          <w:color w:val="1B1A21"/>
          <w:sz w:val="20"/>
          <w:szCs w:val="20"/>
        </w:rPr>
        <w:t xml:space="preserve"> </w:t>
      </w:r>
      <w:r w:rsidRPr="0041013C">
        <w:rPr>
          <w:rFonts w:ascii="Arial" w:hAnsi="Arial" w:cs="Arial"/>
          <w:color w:val="1B1A21"/>
          <w:sz w:val="20"/>
          <w:szCs w:val="20"/>
        </w:rPr>
        <w:t>sia un adempimento rilevante.</w:t>
      </w:r>
    </w:p>
    <w:p w:rsidR="00D90E3A" w:rsidRPr="00444DC6" w:rsidRDefault="00D90E3A" w:rsidP="00444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83C"/>
          <w:sz w:val="20"/>
          <w:szCs w:val="20"/>
        </w:rPr>
      </w:pPr>
    </w:p>
    <w:p w:rsidR="00D90E3A" w:rsidRPr="00444DC6" w:rsidRDefault="00D90E3A" w:rsidP="00444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C1B22"/>
          <w:sz w:val="20"/>
          <w:szCs w:val="20"/>
        </w:rPr>
      </w:pPr>
    </w:p>
    <w:p w:rsidR="00D90E3A" w:rsidRPr="00444DC6" w:rsidRDefault="00D90E3A" w:rsidP="00444D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1B1A21"/>
          <w:sz w:val="20"/>
          <w:szCs w:val="20"/>
        </w:rPr>
      </w:pPr>
      <w:r w:rsidRPr="00444DC6">
        <w:rPr>
          <w:rFonts w:ascii="Arial" w:hAnsi="Arial" w:cs="Arial"/>
          <w:color w:val="1B1A21"/>
          <w:sz w:val="20"/>
          <w:szCs w:val="20"/>
        </w:rPr>
        <w:t>PROTEZIONE ANTINCENDIO</w:t>
      </w:r>
    </w:p>
    <w:p w:rsidR="00D90E3A" w:rsidRPr="00444DC6" w:rsidRDefault="00D90E3A" w:rsidP="00444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C1B22"/>
          <w:sz w:val="20"/>
          <w:szCs w:val="20"/>
        </w:rPr>
      </w:pPr>
    </w:p>
    <w:p w:rsidR="0041013C" w:rsidRPr="00DA3D1C" w:rsidRDefault="0041013C" w:rsidP="004101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  <w:r>
        <w:rPr>
          <w:rFonts w:ascii="Arial" w:hAnsi="Arial" w:cs="Arial"/>
          <w:color w:val="1B1A21"/>
          <w:sz w:val="20"/>
          <w:szCs w:val="20"/>
        </w:rPr>
        <w:t>Considerato che</w:t>
      </w:r>
      <w:r w:rsidRPr="00DA3D1C">
        <w:rPr>
          <w:rFonts w:ascii="Arial" w:hAnsi="Arial" w:cs="Arial"/>
          <w:color w:val="1B1A21"/>
          <w:sz w:val="20"/>
          <w:szCs w:val="20"/>
        </w:rPr>
        <w:t xml:space="preserve"> </w:t>
      </w:r>
      <w:r>
        <w:rPr>
          <w:rFonts w:ascii="Arial" w:hAnsi="Arial" w:cs="Arial"/>
          <w:color w:val="1B1A21"/>
          <w:sz w:val="20"/>
          <w:szCs w:val="20"/>
        </w:rPr>
        <w:t>non vi sono</w:t>
      </w:r>
      <w:r w:rsidRPr="00DA3D1C">
        <w:rPr>
          <w:rFonts w:ascii="Arial" w:hAnsi="Arial" w:cs="Arial"/>
          <w:color w:val="1B1A21"/>
          <w:sz w:val="20"/>
          <w:szCs w:val="20"/>
        </w:rPr>
        <w:t xml:space="preserve"> fonti di innesco</w:t>
      </w:r>
      <w:r>
        <w:rPr>
          <w:rFonts w:ascii="Arial" w:hAnsi="Arial" w:cs="Arial"/>
          <w:color w:val="1B1A21"/>
          <w:sz w:val="20"/>
          <w:szCs w:val="20"/>
        </w:rPr>
        <w:t xml:space="preserve"> e </w:t>
      </w:r>
      <w:r w:rsidRPr="00444DC6">
        <w:rPr>
          <w:rFonts w:ascii="Arial" w:hAnsi="Arial" w:cs="Arial"/>
          <w:color w:val="1B1A21"/>
          <w:sz w:val="20"/>
          <w:szCs w:val="20"/>
        </w:rPr>
        <w:t xml:space="preserve">che l’affollamento è inferiore a 200 persone, </w:t>
      </w:r>
      <w:r>
        <w:rPr>
          <w:rFonts w:ascii="Arial" w:hAnsi="Arial" w:cs="Arial"/>
          <w:color w:val="1B1A21"/>
          <w:sz w:val="20"/>
          <w:szCs w:val="20"/>
        </w:rPr>
        <w:t>non è necessario prevedere alcun</w:t>
      </w:r>
      <w:r w:rsidRPr="00444DC6">
        <w:rPr>
          <w:rFonts w:ascii="Arial" w:hAnsi="Arial" w:cs="Arial"/>
          <w:color w:val="1C1B22"/>
          <w:sz w:val="20"/>
          <w:szCs w:val="20"/>
        </w:rPr>
        <w:t>a protezione contro gli incendi</w:t>
      </w:r>
      <w:r>
        <w:rPr>
          <w:rFonts w:ascii="Arial" w:hAnsi="Arial" w:cs="Arial"/>
          <w:color w:val="1C1B22"/>
          <w:sz w:val="20"/>
          <w:szCs w:val="20"/>
        </w:rPr>
        <w:t>.</w:t>
      </w:r>
    </w:p>
    <w:p w:rsidR="00A1367F" w:rsidRPr="00444DC6" w:rsidRDefault="00A1367F" w:rsidP="00444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C1B22"/>
          <w:sz w:val="20"/>
          <w:szCs w:val="20"/>
        </w:rPr>
      </w:pPr>
    </w:p>
    <w:p w:rsidR="00A1367F" w:rsidRPr="00047E68" w:rsidRDefault="00A1367F" w:rsidP="00444D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1B1A21"/>
          <w:sz w:val="20"/>
          <w:szCs w:val="20"/>
        </w:rPr>
      </w:pPr>
      <w:r w:rsidRPr="00444DC6">
        <w:rPr>
          <w:rFonts w:ascii="Arial" w:hAnsi="Arial" w:cs="Arial"/>
          <w:color w:val="1B1A21"/>
          <w:sz w:val="20"/>
          <w:szCs w:val="20"/>
        </w:rPr>
        <w:t xml:space="preserve">GESTIONE </w:t>
      </w:r>
      <w:r w:rsidRPr="00047E68">
        <w:rPr>
          <w:rFonts w:ascii="Arial" w:hAnsi="Arial" w:cs="Arial"/>
          <w:color w:val="1B1A21"/>
          <w:sz w:val="20"/>
          <w:szCs w:val="20"/>
        </w:rPr>
        <w:t>DELL’EMERGENZA</w:t>
      </w:r>
      <w:r w:rsidR="00C921BB" w:rsidRPr="00047E68">
        <w:rPr>
          <w:rFonts w:ascii="Arial" w:hAnsi="Arial" w:cs="Arial"/>
          <w:color w:val="1B1A21"/>
          <w:sz w:val="20"/>
          <w:szCs w:val="20"/>
        </w:rPr>
        <w:t xml:space="preserve"> - </w:t>
      </w:r>
      <w:r w:rsidR="00C921BB" w:rsidRPr="00047E68">
        <w:rPr>
          <w:rFonts w:ascii="Arial" w:hAnsi="Arial" w:cs="Arial"/>
          <w:sz w:val="20"/>
          <w:szCs w:val="20"/>
        </w:rPr>
        <w:t>piano di emergenza ed evacuazione</w:t>
      </w:r>
    </w:p>
    <w:p w:rsidR="009A1CBE" w:rsidRPr="00444DC6" w:rsidRDefault="009A1CBE" w:rsidP="00444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C1B22"/>
          <w:sz w:val="20"/>
          <w:szCs w:val="20"/>
        </w:rPr>
      </w:pPr>
    </w:p>
    <w:p w:rsidR="00C921BB" w:rsidRPr="00C921BB" w:rsidRDefault="00C921BB" w:rsidP="00C921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  <w:r w:rsidRPr="00C921BB">
        <w:rPr>
          <w:rFonts w:ascii="Arial" w:hAnsi="Arial" w:cs="Arial"/>
          <w:color w:val="1B1A21"/>
          <w:sz w:val="20"/>
          <w:szCs w:val="20"/>
        </w:rPr>
        <w:t>Azioni di mettere in atto in caso d’emergenza tenendo conto degli eventi incidentali ipotizzabili:</w:t>
      </w:r>
    </w:p>
    <w:p w:rsidR="00C921BB" w:rsidRDefault="00C921BB" w:rsidP="00C921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</w:p>
    <w:p w:rsidR="00C921BB" w:rsidRPr="003F0669" w:rsidRDefault="00C921BB" w:rsidP="00F91DE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color w:val="1B1A21"/>
          <w:sz w:val="20"/>
          <w:szCs w:val="20"/>
        </w:rPr>
      </w:pPr>
      <w:r w:rsidRPr="003F0669">
        <w:rPr>
          <w:rFonts w:ascii="Arial" w:hAnsi="Arial" w:cs="Arial"/>
          <w:color w:val="1B1A21"/>
          <w:sz w:val="20"/>
          <w:szCs w:val="20"/>
        </w:rPr>
        <w:t xml:space="preserve">INCENDIO: </w:t>
      </w:r>
      <w:r w:rsidR="00F91DEA" w:rsidRPr="003F0669">
        <w:rPr>
          <w:rFonts w:ascii="Arial" w:hAnsi="Arial" w:cs="Arial"/>
          <w:color w:val="1B1A21"/>
          <w:sz w:val="20"/>
          <w:szCs w:val="20"/>
        </w:rPr>
        <w:t>bisogna immediatamente avvertire l’organizzatore che provvederà a chiamare i VVF (115), dando indicazioni sull’entità dell’incendio e dove è situata la manifestazione. L’organizzatore, in caso di necessità, deciderà di attivare le procedure di evacuazione. Una volta attivato l’allarme sonoro/vocale, l’organizzatore ed i suoi collaboratori provvederanno a dare indicazioni per l’evacuazione.</w:t>
      </w:r>
    </w:p>
    <w:p w:rsidR="00C921BB" w:rsidRPr="003F0669" w:rsidRDefault="00C921BB" w:rsidP="00F91DE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color w:val="1B1A21"/>
          <w:sz w:val="20"/>
          <w:szCs w:val="20"/>
        </w:rPr>
      </w:pPr>
      <w:r w:rsidRPr="003F0669">
        <w:rPr>
          <w:rFonts w:ascii="Arial" w:hAnsi="Arial" w:cs="Arial"/>
          <w:color w:val="1B1A21"/>
          <w:sz w:val="20"/>
          <w:szCs w:val="20"/>
        </w:rPr>
        <w:t>TERREMOTO: cercare di mantenere la calma e non farsi prendere dal panico, rassicurare le</w:t>
      </w:r>
      <w:r w:rsidR="00F91DEA" w:rsidRPr="003F0669">
        <w:rPr>
          <w:rFonts w:ascii="Arial" w:hAnsi="Arial" w:cs="Arial"/>
          <w:color w:val="1B1A21"/>
          <w:sz w:val="20"/>
          <w:szCs w:val="20"/>
        </w:rPr>
        <w:t xml:space="preserve"> </w:t>
      </w:r>
      <w:r w:rsidRPr="003F0669">
        <w:rPr>
          <w:rFonts w:ascii="Arial" w:hAnsi="Arial" w:cs="Arial"/>
          <w:color w:val="1B1A21"/>
          <w:sz w:val="20"/>
          <w:szCs w:val="20"/>
        </w:rPr>
        <w:t>persone che ne hanno più bisogno. Essendo una manifestazione all’aperto, cercare di ammassare</w:t>
      </w:r>
      <w:r w:rsidR="00F91DEA" w:rsidRPr="003F0669">
        <w:rPr>
          <w:rFonts w:ascii="Arial" w:hAnsi="Arial" w:cs="Arial"/>
          <w:color w:val="1B1A21"/>
          <w:sz w:val="20"/>
          <w:szCs w:val="20"/>
        </w:rPr>
        <w:t xml:space="preserve"> </w:t>
      </w:r>
      <w:r w:rsidRPr="003F0669">
        <w:rPr>
          <w:rFonts w:ascii="Arial" w:hAnsi="Arial" w:cs="Arial"/>
          <w:color w:val="1B1A21"/>
          <w:sz w:val="20"/>
          <w:szCs w:val="20"/>
        </w:rPr>
        <w:t>le persone in luoghi distanti da eventuali edifici, che potrebbero crollare. Dopo l’evento sismico, in</w:t>
      </w:r>
      <w:r w:rsidR="00F91DEA" w:rsidRPr="003F0669">
        <w:rPr>
          <w:rFonts w:ascii="Arial" w:hAnsi="Arial" w:cs="Arial"/>
          <w:color w:val="1B1A21"/>
          <w:sz w:val="20"/>
          <w:szCs w:val="20"/>
        </w:rPr>
        <w:t xml:space="preserve"> </w:t>
      </w:r>
      <w:r w:rsidRPr="003F0669">
        <w:rPr>
          <w:rFonts w:ascii="Arial" w:hAnsi="Arial" w:cs="Arial"/>
          <w:color w:val="1B1A21"/>
          <w:sz w:val="20"/>
          <w:szCs w:val="20"/>
        </w:rPr>
        <w:t>caso di persone ferite, chiamare i soccorsi (118), segnalando le varie problematiche.</w:t>
      </w:r>
    </w:p>
    <w:p w:rsidR="00C921BB" w:rsidRPr="003F0669" w:rsidRDefault="00C921BB" w:rsidP="00F91DE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color w:val="1B1A21"/>
          <w:sz w:val="20"/>
          <w:szCs w:val="20"/>
        </w:rPr>
      </w:pPr>
      <w:r w:rsidRPr="003F0669">
        <w:rPr>
          <w:rFonts w:ascii="Arial" w:hAnsi="Arial" w:cs="Arial"/>
          <w:color w:val="1B1A21"/>
          <w:sz w:val="20"/>
          <w:szCs w:val="20"/>
        </w:rPr>
        <w:t xml:space="preserve">ALLUVIONE: </w:t>
      </w:r>
      <w:r w:rsidR="00F91DEA" w:rsidRPr="003F0669">
        <w:rPr>
          <w:rFonts w:ascii="Arial" w:hAnsi="Arial" w:cs="Arial"/>
          <w:color w:val="1B1A21"/>
          <w:sz w:val="20"/>
          <w:szCs w:val="20"/>
        </w:rPr>
        <w:t>i</w:t>
      </w:r>
      <w:r w:rsidRPr="003F0669">
        <w:rPr>
          <w:rFonts w:ascii="Arial" w:hAnsi="Arial" w:cs="Arial"/>
          <w:color w:val="1B1A21"/>
          <w:sz w:val="20"/>
          <w:szCs w:val="20"/>
        </w:rPr>
        <w:t xml:space="preserve">n caso di zone con presenza di acqua al suolo superiore a 5 cm, </w:t>
      </w:r>
      <w:r w:rsidR="00F91DEA" w:rsidRPr="003F0669">
        <w:rPr>
          <w:rFonts w:ascii="Arial" w:hAnsi="Arial" w:cs="Arial"/>
          <w:color w:val="1B1A21"/>
          <w:sz w:val="20"/>
          <w:szCs w:val="20"/>
        </w:rPr>
        <w:t xml:space="preserve">l’organizzatore </w:t>
      </w:r>
      <w:r w:rsidRPr="003F0669">
        <w:rPr>
          <w:rFonts w:ascii="Arial" w:hAnsi="Arial" w:cs="Arial"/>
          <w:color w:val="1B1A21"/>
          <w:sz w:val="20"/>
          <w:szCs w:val="20"/>
        </w:rPr>
        <w:t>provveder</w:t>
      </w:r>
      <w:r w:rsidR="00F91DEA" w:rsidRPr="003F0669">
        <w:rPr>
          <w:rFonts w:ascii="Arial" w:hAnsi="Arial" w:cs="Arial"/>
          <w:color w:val="1B1A21"/>
          <w:sz w:val="20"/>
          <w:szCs w:val="20"/>
        </w:rPr>
        <w:t>à</w:t>
      </w:r>
      <w:r w:rsidRPr="003F0669">
        <w:rPr>
          <w:rFonts w:ascii="Arial" w:hAnsi="Arial" w:cs="Arial"/>
          <w:color w:val="1B1A21"/>
          <w:sz w:val="20"/>
          <w:szCs w:val="20"/>
        </w:rPr>
        <w:t xml:space="preserve"> ad</w:t>
      </w:r>
      <w:r w:rsidRPr="003F0669">
        <w:rPr>
          <w:rFonts w:ascii="Arial" w:hAnsi="Arial" w:cs="Arial"/>
          <w:color w:val="1B1A21"/>
          <w:sz w:val="20"/>
          <w:szCs w:val="20"/>
        </w:rPr>
        <w:t xml:space="preserve"> </w:t>
      </w:r>
      <w:r w:rsidRPr="003F0669">
        <w:rPr>
          <w:rFonts w:ascii="Arial" w:hAnsi="Arial" w:cs="Arial"/>
          <w:color w:val="1B1A21"/>
          <w:sz w:val="20"/>
          <w:szCs w:val="20"/>
        </w:rPr>
        <w:t>avvertire i soccorsi (115), far defluire le persone, e sganciare le eventuali linee elettriche.</w:t>
      </w:r>
    </w:p>
    <w:p w:rsidR="00F91DEA" w:rsidRPr="00F91DEA" w:rsidRDefault="00C921BB" w:rsidP="00F91DE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color w:val="1B1A21"/>
          <w:sz w:val="20"/>
          <w:szCs w:val="20"/>
        </w:rPr>
      </w:pPr>
      <w:r w:rsidRPr="003F0669">
        <w:rPr>
          <w:rFonts w:ascii="Arial" w:hAnsi="Arial" w:cs="Arial"/>
          <w:color w:val="1B1A21"/>
          <w:sz w:val="20"/>
          <w:szCs w:val="20"/>
        </w:rPr>
        <w:t>TROMBA D’ARIA: sarà</w:t>
      </w:r>
      <w:r w:rsidRPr="00F91DEA">
        <w:rPr>
          <w:rFonts w:ascii="Arial" w:hAnsi="Arial" w:cs="Arial"/>
          <w:color w:val="1B1A21"/>
          <w:sz w:val="20"/>
          <w:szCs w:val="20"/>
        </w:rPr>
        <w:t xml:space="preserve"> cura de</w:t>
      </w:r>
      <w:r w:rsidR="00F91DEA">
        <w:rPr>
          <w:rFonts w:ascii="Arial" w:hAnsi="Arial" w:cs="Arial"/>
          <w:color w:val="1B1A21"/>
          <w:sz w:val="20"/>
          <w:szCs w:val="20"/>
        </w:rPr>
        <w:t xml:space="preserve">ll’organizzatore </w:t>
      </w:r>
      <w:r w:rsidRPr="00F91DEA">
        <w:rPr>
          <w:rFonts w:ascii="Arial" w:hAnsi="Arial" w:cs="Arial"/>
          <w:color w:val="1B1A21"/>
          <w:sz w:val="20"/>
          <w:szCs w:val="20"/>
        </w:rPr>
        <w:t>valutare l</w:t>
      </w:r>
      <w:r w:rsidR="00F91DEA">
        <w:rPr>
          <w:rFonts w:ascii="Arial" w:hAnsi="Arial" w:cs="Arial"/>
          <w:color w:val="1B1A21"/>
          <w:sz w:val="20"/>
          <w:szCs w:val="20"/>
        </w:rPr>
        <w:t>a</w:t>
      </w:r>
      <w:r w:rsidRPr="00F91DEA">
        <w:rPr>
          <w:rFonts w:ascii="Arial" w:hAnsi="Arial" w:cs="Arial"/>
          <w:color w:val="1B1A21"/>
          <w:sz w:val="20"/>
          <w:szCs w:val="20"/>
        </w:rPr>
        <w:t xml:space="preserve"> pericolosità dell’evento e le</w:t>
      </w:r>
      <w:r w:rsidR="00F91DEA" w:rsidRPr="00F91DEA">
        <w:rPr>
          <w:rFonts w:ascii="Arial" w:hAnsi="Arial" w:cs="Arial"/>
          <w:color w:val="1B1A21"/>
          <w:sz w:val="20"/>
          <w:szCs w:val="20"/>
        </w:rPr>
        <w:t xml:space="preserve"> </w:t>
      </w:r>
      <w:r w:rsidRPr="00F91DEA">
        <w:rPr>
          <w:rFonts w:ascii="Arial" w:hAnsi="Arial" w:cs="Arial"/>
          <w:color w:val="1B1A21"/>
          <w:sz w:val="20"/>
          <w:szCs w:val="20"/>
        </w:rPr>
        <w:t>azioni da intraprendere. In caso di vento superiore a 50 km/h, provvederà ad avvisare i soccorsi</w:t>
      </w:r>
      <w:r w:rsidR="00F91DEA" w:rsidRPr="00F91DEA">
        <w:rPr>
          <w:rFonts w:ascii="Arial" w:hAnsi="Arial" w:cs="Arial"/>
          <w:color w:val="1B1A21"/>
          <w:sz w:val="20"/>
          <w:szCs w:val="20"/>
        </w:rPr>
        <w:t xml:space="preserve"> </w:t>
      </w:r>
      <w:r w:rsidRPr="00F91DEA">
        <w:rPr>
          <w:rFonts w:ascii="Arial" w:hAnsi="Arial" w:cs="Arial"/>
          <w:color w:val="1B1A21"/>
          <w:sz w:val="20"/>
          <w:szCs w:val="20"/>
        </w:rPr>
        <w:t>(115), ed utilizzare le eventuali strutture fisse come riparo.</w:t>
      </w:r>
    </w:p>
    <w:p w:rsidR="00C921BB" w:rsidRDefault="00C921BB" w:rsidP="00F91D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  <w:r w:rsidRPr="00F91DEA">
        <w:rPr>
          <w:rFonts w:ascii="Arial" w:hAnsi="Arial" w:cs="Arial"/>
          <w:color w:val="1B1A21"/>
          <w:sz w:val="20"/>
          <w:szCs w:val="20"/>
        </w:rPr>
        <w:t>Nella zona di partenza/arrivo sarà previsto un sistema di diffusione sonora al fine di avvertire le</w:t>
      </w:r>
      <w:r w:rsidR="00F91DEA" w:rsidRPr="00F91DEA">
        <w:rPr>
          <w:rFonts w:ascii="Arial" w:hAnsi="Arial" w:cs="Arial"/>
          <w:color w:val="1B1A21"/>
          <w:sz w:val="20"/>
          <w:szCs w:val="20"/>
        </w:rPr>
        <w:t xml:space="preserve"> </w:t>
      </w:r>
      <w:r w:rsidRPr="00F91DEA">
        <w:rPr>
          <w:rFonts w:ascii="Arial" w:hAnsi="Arial" w:cs="Arial"/>
          <w:color w:val="1B1A21"/>
          <w:sz w:val="20"/>
          <w:szCs w:val="20"/>
        </w:rPr>
        <w:t>persone su tutta l’area.</w:t>
      </w:r>
      <w:r w:rsidRPr="00F91DEA">
        <w:rPr>
          <w:rFonts w:ascii="Arial" w:hAnsi="Arial" w:cs="Arial"/>
          <w:color w:val="1B1A21"/>
          <w:sz w:val="20"/>
          <w:szCs w:val="20"/>
        </w:rPr>
        <w:t xml:space="preserve"> </w:t>
      </w:r>
    </w:p>
    <w:p w:rsidR="00DD4158" w:rsidRDefault="00DD4158" w:rsidP="00F91D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</w:p>
    <w:p w:rsidR="00DD4158" w:rsidRDefault="00DD4158" w:rsidP="00F91D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</w:p>
    <w:p w:rsidR="00047E68" w:rsidRPr="00047E68" w:rsidRDefault="00047E68" w:rsidP="00047E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1B1A21"/>
          <w:sz w:val="20"/>
          <w:szCs w:val="20"/>
        </w:rPr>
      </w:pPr>
      <w:r>
        <w:rPr>
          <w:rFonts w:ascii="Arial" w:hAnsi="Arial" w:cs="Arial"/>
          <w:color w:val="1B1A21"/>
          <w:sz w:val="20"/>
          <w:szCs w:val="20"/>
        </w:rPr>
        <w:t>OPERATORI DI SICUREZ</w:t>
      </w:r>
      <w:r w:rsidRPr="00047E68">
        <w:rPr>
          <w:rFonts w:ascii="Arial" w:hAnsi="Arial" w:cs="Arial"/>
          <w:color w:val="1B1A21"/>
          <w:sz w:val="20"/>
          <w:szCs w:val="20"/>
        </w:rPr>
        <w:t xml:space="preserve">ZA </w:t>
      </w:r>
    </w:p>
    <w:p w:rsidR="00DD4158" w:rsidRDefault="00DD4158" w:rsidP="00F91D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</w:p>
    <w:p w:rsidR="00047E68" w:rsidRPr="00047E68" w:rsidRDefault="00047E68" w:rsidP="00047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  <w:r w:rsidRPr="00047E68">
        <w:rPr>
          <w:rFonts w:ascii="Arial" w:hAnsi="Arial" w:cs="Arial"/>
          <w:color w:val="1B1A21"/>
          <w:sz w:val="20"/>
          <w:szCs w:val="20"/>
        </w:rPr>
        <w:t>Considerato che, in ottemperanza a</w:t>
      </w:r>
      <w:r w:rsidRPr="00047E68">
        <w:rPr>
          <w:rFonts w:ascii="Arial" w:hAnsi="Arial" w:cs="Arial"/>
          <w:color w:val="1B1A21"/>
          <w:sz w:val="20"/>
          <w:szCs w:val="20"/>
        </w:rPr>
        <w:t xml:space="preserve">lla direttiva n. 11001/1/110 </w:t>
      </w:r>
      <w:r w:rsidRPr="00047E68">
        <w:rPr>
          <w:rFonts w:ascii="Arial" w:hAnsi="Arial" w:cs="Arial"/>
          <w:color w:val="1B1A21"/>
          <w:sz w:val="20"/>
          <w:szCs w:val="20"/>
        </w:rPr>
        <w:t>emessa dal Ministero dell’Interno i</w:t>
      </w:r>
      <w:r w:rsidRPr="00047E68">
        <w:rPr>
          <w:rFonts w:ascii="Arial" w:hAnsi="Arial" w:cs="Arial"/>
          <w:color w:val="1B1A21"/>
          <w:sz w:val="20"/>
          <w:szCs w:val="20"/>
        </w:rPr>
        <w:t>l 18/07/2018</w:t>
      </w:r>
      <w:r w:rsidRPr="00047E68">
        <w:rPr>
          <w:rFonts w:ascii="Arial" w:hAnsi="Arial" w:cs="Arial"/>
          <w:color w:val="1B1A21"/>
          <w:sz w:val="20"/>
          <w:szCs w:val="20"/>
        </w:rPr>
        <w:t>, non si profilano</w:t>
      </w:r>
      <w:r w:rsidRPr="00047E68">
        <w:rPr>
          <w:rFonts w:ascii="Arial" w:hAnsi="Arial" w:cs="Arial"/>
          <w:color w:val="1B1A21"/>
          <w:sz w:val="20"/>
          <w:szCs w:val="20"/>
        </w:rPr>
        <w:t xml:space="preserve"> peculiari condizioni di criticità connesse alla tipologia dell’evento, alla conformazione del luogo, al numero e alle caratteristiche dei partecipanti</w:t>
      </w:r>
      <w:r w:rsidRPr="00047E68">
        <w:rPr>
          <w:rFonts w:ascii="Arial" w:hAnsi="Arial" w:cs="Arial"/>
          <w:color w:val="1B1A21"/>
          <w:sz w:val="20"/>
          <w:szCs w:val="20"/>
        </w:rPr>
        <w:t>, si ritiene di non dover prevedere la presenza di operatori di sicurezza</w:t>
      </w:r>
      <w:r w:rsidRPr="00047E68">
        <w:rPr>
          <w:rFonts w:ascii="Arial" w:hAnsi="Arial" w:cs="Arial"/>
          <w:color w:val="1B1A21"/>
          <w:sz w:val="20"/>
          <w:szCs w:val="20"/>
        </w:rPr>
        <w:t xml:space="preserve">. </w:t>
      </w:r>
    </w:p>
    <w:p w:rsidR="00047E68" w:rsidRPr="00047E68" w:rsidRDefault="00047E68" w:rsidP="00047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</w:p>
    <w:p w:rsidR="00A925FE" w:rsidRDefault="00A925FE" w:rsidP="00A925FE">
      <w:pPr>
        <w:pStyle w:val="Paragrafoelenco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color w:val="1D1D23"/>
          <w:sz w:val="19"/>
          <w:szCs w:val="19"/>
        </w:rPr>
      </w:pPr>
    </w:p>
    <w:p w:rsidR="00A925FE" w:rsidRPr="00412C50" w:rsidRDefault="00A925FE" w:rsidP="00412C50">
      <w:p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color w:val="1D1D23"/>
          <w:sz w:val="19"/>
          <w:szCs w:val="19"/>
        </w:rPr>
      </w:pPr>
    </w:p>
    <w:p w:rsidR="00412C50" w:rsidRDefault="00412C50" w:rsidP="00FC4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D23"/>
          <w:sz w:val="19"/>
          <w:szCs w:val="19"/>
        </w:rPr>
      </w:pPr>
    </w:p>
    <w:p w:rsidR="00FC49C7" w:rsidRDefault="006549F6" w:rsidP="00FC49C7">
      <w:r>
        <w:t>Il Responsabile della Manifestazione</w:t>
      </w:r>
    </w:p>
    <w:p w:rsidR="006549F6" w:rsidRDefault="006549F6" w:rsidP="00FC49C7">
      <w:r>
        <w:t>Sig.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549F6" w:rsidRDefault="006549F6" w:rsidP="00FC49C7">
      <w:r>
        <w:t>n. telefono …………………………………………………….</w:t>
      </w:r>
    </w:p>
    <w:p w:rsidR="006549F6" w:rsidRDefault="006549F6" w:rsidP="00FC49C7"/>
    <w:p w:rsidR="006549F6" w:rsidRPr="00FC49C7" w:rsidRDefault="006549F6" w:rsidP="00FC49C7">
      <w:r>
        <w:t>firma ………………………………………………………</w:t>
      </w:r>
      <w:proofErr w:type="gramStart"/>
      <w:r>
        <w:t>…….</w:t>
      </w:r>
      <w:proofErr w:type="gramEnd"/>
      <w:r>
        <w:t>.</w:t>
      </w:r>
    </w:p>
    <w:sectPr w:rsidR="006549F6" w:rsidRPr="00FC49C7" w:rsidSect="003F0669">
      <w:headerReference w:type="default" r:id="rId7"/>
      <w:pgSz w:w="11906" w:h="16838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C8D" w:rsidRDefault="00262C8D" w:rsidP="003F0669">
      <w:pPr>
        <w:spacing w:after="0" w:line="240" w:lineRule="auto"/>
      </w:pPr>
      <w:r>
        <w:separator/>
      </w:r>
    </w:p>
  </w:endnote>
  <w:endnote w:type="continuationSeparator" w:id="0">
    <w:p w:rsidR="00262C8D" w:rsidRDefault="00262C8D" w:rsidP="003F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C8D" w:rsidRDefault="00262C8D" w:rsidP="003F0669">
      <w:pPr>
        <w:spacing w:after="0" w:line="240" w:lineRule="auto"/>
      </w:pPr>
      <w:r>
        <w:separator/>
      </w:r>
    </w:p>
  </w:footnote>
  <w:footnote w:type="continuationSeparator" w:id="0">
    <w:p w:rsidR="00262C8D" w:rsidRDefault="00262C8D" w:rsidP="003F0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669" w:rsidRDefault="003F0669" w:rsidP="003F0669">
    <w:pPr>
      <w:pStyle w:val="Intestazione"/>
      <w:jc w:val="center"/>
    </w:pPr>
    <w:r>
      <w:rPr>
        <w:noProof/>
      </w:rPr>
      <w:drawing>
        <wp:inline distT="0" distB="0" distL="0" distR="0">
          <wp:extent cx="1948296" cy="285131"/>
          <wp:effectExtent l="0" t="0" r="0" b="63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6998" cy="30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E0F3C"/>
    <w:multiLevelType w:val="hybridMultilevel"/>
    <w:tmpl w:val="E9561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E1684"/>
    <w:multiLevelType w:val="hybridMultilevel"/>
    <w:tmpl w:val="0C4E81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B416D"/>
    <w:multiLevelType w:val="hybridMultilevel"/>
    <w:tmpl w:val="09681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E2"/>
    <w:rsid w:val="0002725F"/>
    <w:rsid w:val="00047E68"/>
    <w:rsid w:val="00116833"/>
    <w:rsid w:val="00262C8D"/>
    <w:rsid w:val="003F0669"/>
    <w:rsid w:val="0041013C"/>
    <w:rsid w:val="00412C50"/>
    <w:rsid w:val="00444DC6"/>
    <w:rsid w:val="004711E2"/>
    <w:rsid w:val="00502575"/>
    <w:rsid w:val="006549F6"/>
    <w:rsid w:val="009A1CBE"/>
    <w:rsid w:val="00A1367F"/>
    <w:rsid w:val="00A925FE"/>
    <w:rsid w:val="00AB3E29"/>
    <w:rsid w:val="00BB5C66"/>
    <w:rsid w:val="00C66E24"/>
    <w:rsid w:val="00C921BB"/>
    <w:rsid w:val="00CD2C6C"/>
    <w:rsid w:val="00D27545"/>
    <w:rsid w:val="00D90E3A"/>
    <w:rsid w:val="00DA3D1C"/>
    <w:rsid w:val="00DD4158"/>
    <w:rsid w:val="00E776DE"/>
    <w:rsid w:val="00F91DEA"/>
    <w:rsid w:val="00FC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6C9C7"/>
  <w15:chartTrackingRefBased/>
  <w15:docId w15:val="{8A625903-C2B1-452F-A0DD-0C814F85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49C7"/>
    <w:pPr>
      <w:ind w:left="720"/>
      <w:contextualSpacing/>
    </w:pPr>
  </w:style>
  <w:style w:type="table" w:styleId="Grigliatabella">
    <w:name w:val="Table Grid"/>
    <w:basedOn w:val="Tabellanormale"/>
    <w:uiPriority w:val="39"/>
    <w:rsid w:val="003F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06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669"/>
  </w:style>
  <w:style w:type="paragraph" w:styleId="Pidipagina">
    <w:name w:val="footer"/>
    <w:basedOn w:val="Normale"/>
    <w:link w:val="PidipaginaCarattere"/>
    <w:uiPriority w:val="99"/>
    <w:unhideWhenUsed/>
    <w:rsid w:val="003F06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</cp:lastModifiedBy>
  <cp:revision>6</cp:revision>
  <dcterms:created xsi:type="dcterms:W3CDTF">2019-02-23T16:05:00Z</dcterms:created>
  <dcterms:modified xsi:type="dcterms:W3CDTF">2019-02-23T17:14:00Z</dcterms:modified>
</cp:coreProperties>
</file>